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FE434" w14:textId="22E5AED1" w:rsidR="00E85C4E" w:rsidRPr="006A718D" w:rsidRDefault="00BC1194" w:rsidP="00E85C4E">
      <w:pPr>
        <w:jc w:val="center"/>
        <w:rPr>
          <w:rFonts w:ascii="Georgia" w:hAnsi="Georgia"/>
          <w:b/>
          <w:bCs/>
          <w:u w:val="single"/>
        </w:rPr>
      </w:pPr>
      <w:r>
        <w:rPr>
          <w:rFonts w:ascii="Georgia" w:hAnsi="Georgia"/>
          <w:b/>
          <w:bCs/>
          <w:u w:val="single"/>
        </w:rPr>
        <w:t xml:space="preserve">Health Resource Allocation and Planning </w:t>
      </w:r>
      <w:r w:rsidR="00772DAF">
        <w:rPr>
          <w:rFonts w:ascii="Georgia" w:hAnsi="Georgia"/>
          <w:b/>
          <w:bCs/>
          <w:u w:val="single"/>
        </w:rPr>
        <w:t>Engine</w:t>
      </w:r>
    </w:p>
    <w:p w14:paraId="75370923" w14:textId="77777777" w:rsidR="00E85C4E" w:rsidRPr="006A718D" w:rsidRDefault="00E85C4E" w:rsidP="009A0268">
      <w:pPr>
        <w:rPr>
          <w:rFonts w:ascii="Georgia" w:hAnsi="Georgia"/>
          <w:b/>
          <w:bCs/>
          <w:sz w:val="20"/>
          <w:szCs w:val="20"/>
        </w:rPr>
      </w:pPr>
    </w:p>
    <w:p w14:paraId="2F2D9293" w14:textId="58028F0F" w:rsidR="009A0268" w:rsidRPr="006A718D" w:rsidRDefault="009A0268" w:rsidP="009A0268">
      <w:pPr>
        <w:rPr>
          <w:rFonts w:ascii="Georgia" w:hAnsi="Georgia"/>
          <w:b/>
          <w:bCs/>
          <w:color w:val="E97132" w:themeColor="accent2"/>
          <w:sz w:val="22"/>
          <w:szCs w:val="22"/>
        </w:rPr>
      </w:pPr>
      <w:r w:rsidRPr="006A718D">
        <w:rPr>
          <w:rFonts w:ascii="Georgia" w:hAnsi="Georgia"/>
          <w:b/>
          <w:bCs/>
          <w:color w:val="E97132" w:themeColor="accent2"/>
          <w:sz w:val="22"/>
          <w:szCs w:val="22"/>
        </w:rPr>
        <w:t>About Use Case</w:t>
      </w:r>
    </w:p>
    <w:p w14:paraId="04BAC62E" w14:textId="77777777" w:rsidR="000B316B" w:rsidRPr="006A718D" w:rsidRDefault="000B316B" w:rsidP="000B316B">
      <w:pPr>
        <w:rPr>
          <w:rFonts w:ascii="Georgia" w:hAnsi="Georgia"/>
          <w:sz w:val="22"/>
          <w:szCs w:val="22"/>
        </w:rPr>
      </w:pPr>
      <w:r w:rsidRPr="006A718D">
        <w:rPr>
          <w:rFonts w:ascii="Georgia" w:hAnsi="Georgia"/>
          <w:sz w:val="22"/>
          <w:szCs w:val="22"/>
        </w:rPr>
        <w:t>Health Resource Allocation &amp; Planning Engine is an AI-powered decision support system designed to optimize the distribution of healthcare resources across districts, healthcare facilities, and public health programs. The solution utilizes HMIS indicators related to healthcare service utilization, maternal and child health services, disease burden, workforce performance, healthcare infrastructure, facility workload, and population health trends to forecast future healthcare demands and guide strategic planning.</w:t>
      </w:r>
    </w:p>
    <w:p w14:paraId="0C519447" w14:textId="77777777" w:rsidR="000B316B" w:rsidRPr="006A718D" w:rsidRDefault="000B316B" w:rsidP="000B316B">
      <w:pPr>
        <w:rPr>
          <w:rFonts w:ascii="Georgia" w:hAnsi="Georgia"/>
          <w:sz w:val="22"/>
          <w:szCs w:val="22"/>
        </w:rPr>
      </w:pPr>
      <w:r w:rsidRPr="006A718D">
        <w:rPr>
          <w:rFonts w:ascii="Georgia" w:hAnsi="Georgia"/>
          <w:sz w:val="22"/>
          <w:szCs w:val="22"/>
        </w:rPr>
        <w:t>The engine enables government agencies to allocate resources more efficiently, improve service accessibility, reduce healthcare disparities, and strengthen healthcare delivery systems through evidence-based planning</w:t>
      </w:r>
    </w:p>
    <w:p w14:paraId="45E05AD0" w14:textId="77777777" w:rsidR="009A0268" w:rsidRPr="006A718D" w:rsidRDefault="009A0268" w:rsidP="009A0268">
      <w:pPr>
        <w:rPr>
          <w:rFonts w:ascii="Georgia" w:hAnsi="Georgia"/>
          <w:b/>
          <w:bCs/>
          <w:color w:val="E97132" w:themeColor="accent2"/>
          <w:sz w:val="22"/>
          <w:szCs w:val="22"/>
        </w:rPr>
      </w:pPr>
      <w:r w:rsidRPr="006A718D">
        <w:rPr>
          <w:rFonts w:ascii="Georgia" w:hAnsi="Georgia"/>
          <w:b/>
          <w:bCs/>
          <w:color w:val="E97132" w:themeColor="accent2"/>
          <w:sz w:val="22"/>
          <w:szCs w:val="22"/>
        </w:rPr>
        <w:t>Title of the Problem Statement</w:t>
      </w:r>
    </w:p>
    <w:p w14:paraId="544CD216" w14:textId="77777777" w:rsidR="00CC4A43" w:rsidRPr="006A718D" w:rsidRDefault="00CC4A43" w:rsidP="00CC4A43">
      <w:pPr>
        <w:rPr>
          <w:rFonts w:ascii="Georgia" w:hAnsi="Georgia"/>
          <w:sz w:val="22"/>
          <w:szCs w:val="22"/>
        </w:rPr>
      </w:pPr>
      <w:r w:rsidRPr="006A718D">
        <w:rPr>
          <w:rFonts w:ascii="Georgia" w:hAnsi="Georgia"/>
          <w:sz w:val="22"/>
          <w:szCs w:val="22"/>
        </w:rPr>
        <w:t>Optimizing Healthcare Resource Allocation and Strategic Health Infrastructure Planning</w:t>
      </w:r>
    </w:p>
    <w:p w14:paraId="79C28F8C" w14:textId="77777777" w:rsidR="009A0268" w:rsidRPr="006A718D" w:rsidRDefault="009A0268" w:rsidP="009A0268">
      <w:pPr>
        <w:rPr>
          <w:rFonts w:ascii="Georgia" w:hAnsi="Georgia"/>
          <w:b/>
          <w:bCs/>
          <w:color w:val="E97132" w:themeColor="accent2"/>
          <w:sz w:val="22"/>
          <w:szCs w:val="22"/>
        </w:rPr>
      </w:pPr>
      <w:r w:rsidRPr="006A718D">
        <w:rPr>
          <w:rFonts w:ascii="Georgia" w:hAnsi="Georgia"/>
          <w:b/>
          <w:bCs/>
          <w:color w:val="E97132" w:themeColor="accent2"/>
          <w:sz w:val="22"/>
          <w:szCs w:val="22"/>
        </w:rPr>
        <w:t>Department Name</w:t>
      </w:r>
    </w:p>
    <w:p w14:paraId="6E2742C4" w14:textId="317D3175" w:rsidR="009A0268" w:rsidRPr="006A718D" w:rsidRDefault="009A0268" w:rsidP="009A0268">
      <w:pPr>
        <w:rPr>
          <w:rFonts w:ascii="Georgia" w:hAnsi="Georgia"/>
          <w:sz w:val="22"/>
          <w:szCs w:val="22"/>
        </w:rPr>
      </w:pPr>
      <w:r w:rsidRPr="006A718D">
        <w:rPr>
          <w:rFonts w:ascii="Georgia" w:hAnsi="Georgia"/>
          <w:sz w:val="22"/>
          <w:szCs w:val="22"/>
        </w:rPr>
        <w:t>Department of Health, Medical &amp; Family Welfare, Government of Andhra Pradesh</w:t>
      </w:r>
    </w:p>
    <w:p w14:paraId="7339513C" w14:textId="77777777" w:rsidR="009A0268" w:rsidRPr="006A718D" w:rsidRDefault="009A0268" w:rsidP="009A0268">
      <w:pPr>
        <w:rPr>
          <w:rFonts w:ascii="Georgia" w:hAnsi="Georgia"/>
          <w:b/>
          <w:bCs/>
          <w:color w:val="E97132" w:themeColor="accent2"/>
          <w:sz w:val="22"/>
          <w:szCs w:val="22"/>
        </w:rPr>
      </w:pPr>
      <w:r w:rsidRPr="006A718D">
        <w:rPr>
          <w:rFonts w:ascii="Georgia" w:hAnsi="Georgia"/>
          <w:b/>
          <w:bCs/>
          <w:color w:val="E97132" w:themeColor="accent2"/>
          <w:sz w:val="22"/>
          <w:szCs w:val="22"/>
        </w:rPr>
        <w:t>Background and Context</w:t>
      </w:r>
    </w:p>
    <w:p w14:paraId="0E040664" w14:textId="77777777" w:rsidR="004E1B14" w:rsidRPr="006A718D" w:rsidRDefault="004E1B14" w:rsidP="004E1B14">
      <w:pPr>
        <w:rPr>
          <w:rFonts w:ascii="Georgia" w:hAnsi="Georgia"/>
          <w:sz w:val="22"/>
          <w:szCs w:val="22"/>
        </w:rPr>
      </w:pPr>
      <w:r w:rsidRPr="006A718D">
        <w:rPr>
          <w:rFonts w:ascii="Georgia" w:hAnsi="Georgia"/>
          <w:sz w:val="22"/>
          <w:szCs w:val="22"/>
        </w:rPr>
        <w:t>Healthcare systems operate under significant resource constraints, requiring administrators to balance the availability of healthcare personnel, medical infrastructure, equipment, medicines, and financial resources across diverse geographical regions.</w:t>
      </w:r>
    </w:p>
    <w:p w14:paraId="4B75DA22" w14:textId="77777777" w:rsidR="004E1B14" w:rsidRPr="006A718D" w:rsidRDefault="004E1B14" w:rsidP="004E1B14">
      <w:pPr>
        <w:rPr>
          <w:rFonts w:ascii="Georgia" w:hAnsi="Georgia"/>
          <w:sz w:val="22"/>
          <w:szCs w:val="22"/>
        </w:rPr>
      </w:pPr>
      <w:r w:rsidRPr="006A718D">
        <w:rPr>
          <w:rFonts w:ascii="Georgia" w:hAnsi="Georgia"/>
          <w:sz w:val="22"/>
          <w:szCs w:val="22"/>
        </w:rPr>
        <w:t>Districts often experience varying healthcare demands due to differences in population density, disease prevalence, maternal and child healthcare needs, service utilization patterns, and public health emergencies. Traditional resource allocation approaches rely heavily on historical utilization reports, limiting the ability to anticipate future requirements.</w:t>
      </w:r>
    </w:p>
    <w:p w14:paraId="033E1FD9" w14:textId="77777777" w:rsidR="004E1B14" w:rsidRPr="006A718D" w:rsidRDefault="004E1B14" w:rsidP="004E1B14">
      <w:pPr>
        <w:rPr>
          <w:rFonts w:ascii="Georgia" w:hAnsi="Georgia"/>
          <w:sz w:val="22"/>
          <w:szCs w:val="22"/>
        </w:rPr>
      </w:pPr>
      <w:r w:rsidRPr="006A718D">
        <w:rPr>
          <w:rFonts w:ascii="Georgia" w:hAnsi="Georgia"/>
          <w:sz w:val="22"/>
          <w:szCs w:val="22"/>
        </w:rPr>
        <w:t>The HMIS datasets provide comprehensive information regarding healthcare service delivery, institutional care, health outcomes, healthcare facility performance, disease burden, and population health indicators. By applying AI-based demand forecasting and optimization models, healthcare authorities can proactively plan and allocate resources where they are needed most.</w:t>
      </w:r>
    </w:p>
    <w:p w14:paraId="7F18E62F" w14:textId="77777777" w:rsidR="009A0268" w:rsidRPr="006A718D" w:rsidRDefault="009A0268" w:rsidP="009A0268">
      <w:pPr>
        <w:rPr>
          <w:rFonts w:ascii="Georgia" w:hAnsi="Georgia"/>
          <w:b/>
          <w:bCs/>
          <w:color w:val="E97132" w:themeColor="accent2"/>
          <w:sz w:val="22"/>
          <w:szCs w:val="22"/>
        </w:rPr>
      </w:pPr>
      <w:r w:rsidRPr="006A718D">
        <w:rPr>
          <w:rFonts w:ascii="Georgia" w:hAnsi="Georgia"/>
          <w:b/>
          <w:bCs/>
          <w:color w:val="E97132" w:themeColor="accent2"/>
          <w:sz w:val="22"/>
          <w:szCs w:val="22"/>
        </w:rPr>
        <w:t>Problem Description / Use Case Requirement</w:t>
      </w:r>
    </w:p>
    <w:p w14:paraId="5B0CD83B" w14:textId="77777777" w:rsidR="006A718D" w:rsidRPr="006A718D" w:rsidRDefault="006A718D" w:rsidP="006A718D">
      <w:pPr>
        <w:rPr>
          <w:rFonts w:ascii="Georgia" w:hAnsi="Georgia"/>
          <w:sz w:val="22"/>
          <w:szCs w:val="22"/>
        </w:rPr>
      </w:pPr>
      <w:r w:rsidRPr="006A718D">
        <w:rPr>
          <w:rFonts w:ascii="Georgia" w:hAnsi="Georgia"/>
          <w:sz w:val="22"/>
          <w:szCs w:val="22"/>
        </w:rPr>
        <w:t>Healthcare administrators face several operational and planning challenges:</w:t>
      </w:r>
    </w:p>
    <w:p w14:paraId="16D032CB"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Uneven distribution of healthcare resources across districts.</w:t>
      </w:r>
    </w:p>
    <w:p w14:paraId="4C3943AD"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Shortage of medical staff in high-demand regions.</w:t>
      </w:r>
    </w:p>
    <w:p w14:paraId="4BE62AF3"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Underutilization of resources in certain facilities.</w:t>
      </w:r>
    </w:p>
    <w:p w14:paraId="580A83B8"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lastRenderedPageBreak/>
        <w:t>Difficulty forecasting future healthcare demand.</w:t>
      </w:r>
    </w:p>
    <w:p w14:paraId="266C02B6"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Inadequate healthcare infrastructure planning.</w:t>
      </w:r>
    </w:p>
    <w:p w14:paraId="18B0C3EE"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Challenges in prioritizing investments across districts.</w:t>
      </w:r>
    </w:p>
    <w:p w14:paraId="505943B2"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Inefficient deployment of emergency healthcare resources.</w:t>
      </w:r>
    </w:p>
    <w:p w14:paraId="0B86F363"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Rising healthcare costs and budget constraints.</w:t>
      </w:r>
    </w:p>
    <w:p w14:paraId="5333C9C5"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Service delivery bottlenecks in high-burden facilities.</w:t>
      </w:r>
    </w:p>
    <w:p w14:paraId="04D07C3D" w14:textId="77777777" w:rsidR="006A718D" w:rsidRPr="006A718D" w:rsidRDefault="006A718D" w:rsidP="006A718D">
      <w:pPr>
        <w:numPr>
          <w:ilvl w:val="0"/>
          <w:numId w:val="46"/>
        </w:numPr>
        <w:rPr>
          <w:rFonts w:ascii="Georgia" w:hAnsi="Georgia"/>
          <w:sz w:val="22"/>
          <w:szCs w:val="22"/>
        </w:rPr>
      </w:pPr>
      <w:r w:rsidRPr="006A718D">
        <w:rPr>
          <w:rFonts w:ascii="Georgia" w:hAnsi="Georgia"/>
          <w:sz w:val="22"/>
          <w:szCs w:val="22"/>
        </w:rPr>
        <w:t>Limited visibility into future healthcare capacity requirements.</w:t>
      </w:r>
    </w:p>
    <w:p w14:paraId="221432CB" w14:textId="77777777" w:rsidR="006A718D" w:rsidRPr="006A718D" w:rsidRDefault="006A718D" w:rsidP="006A718D">
      <w:pPr>
        <w:spacing w:after="0" w:line="300" w:lineRule="atLeast"/>
        <w:rPr>
          <w:rFonts w:ascii="Georgia" w:eastAsia="Times New Roman" w:hAnsi="Georgia" w:cs="Segoe UI"/>
          <w:kern w:val="0"/>
          <w:sz w:val="21"/>
          <w:szCs w:val="21"/>
          <w14:ligatures w14:val="none"/>
        </w:rPr>
      </w:pPr>
      <w:r w:rsidRPr="006A718D">
        <w:rPr>
          <w:rFonts w:ascii="Georgia" w:eastAsia="Times New Roman" w:hAnsi="Georgia" w:cs="Segoe UI"/>
          <w:kern w:val="0"/>
          <w:sz w:val="21"/>
          <w:szCs w:val="21"/>
          <w14:ligatures w14:val="none"/>
        </w:rPr>
        <w:t>Without predictive planning mechanisms, healthcare systems may experience inefficiencies, service delays, resource shortages, and reduced healthcare accessibility.</w:t>
      </w:r>
    </w:p>
    <w:p w14:paraId="766CF005" w14:textId="632F5480" w:rsidR="009A0268" w:rsidRPr="006A718D" w:rsidRDefault="009A0268" w:rsidP="00F77494">
      <w:pPr>
        <w:rPr>
          <w:rFonts w:ascii="Georgia" w:hAnsi="Georgia"/>
          <w:sz w:val="22"/>
          <w:szCs w:val="22"/>
        </w:rPr>
      </w:pPr>
    </w:p>
    <w:sectPr w:rsidR="009A0268" w:rsidRPr="006A7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496A"/>
    <w:multiLevelType w:val="multilevel"/>
    <w:tmpl w:val="74D4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41E6A"/>
    <w:multiLevelType w:val="multilevel"/>
    <w:tmpl w:val="1ED4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9117E"/>
    <w:multiLevelType w:val="multilevel"/>
    <w:tmpl w:val="8CD8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334AC"/>
    <w:multiLevelType w:val="multilevel"/>
    <w:tmpl w:val="B1C0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F04A5"/>
    <w:multiLevelType w:val="multilevel"/>
    <w:tmpl w:val="BF20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C3BFB"/>
    <w:multiLevelType w:val="multilevel"/>
    <w:tmpl w:val="7BF8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06110"/>
    <w:multiLevelType w:val="multilevel"/>
    <w:tmpl w:val="D456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812FA"/>
    <w:multiLevelType w:val="multilevel"/>
    <w:tmpl w:val="59F0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1539F"/>
    <w:multiLevelType w:val="multilevel"/>
    <w:tmpl w:val="6534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759CB"/>
    <w:multiLevelType w:val="multilevel"/>
    <w:tmpl w:val="27B2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F5435"/>
    <w:multiLevelType w:val="multilevel"/>
    <w:tmpl w:val="3F18D974"/>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20A350C5"/>
    <w:multiLevelType w:val="multilevel"/>
    <w:tmpl w:val="CE68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5046B"/>
    <w:multiLevelType w:val="multilevel"/>
    <w:tmpl w:val="77E8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370F5"/>
    <w:multiLevelType w:val="hybridMultilevel"/>
    <w:tmpl w:val="6406CF1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BD1240"/>
    <w:multiLevelType w:val="hybridMultilevel"/>
    <w:tmpl w:val="CC42819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195C17"/>
    <w:multiLevelType w:val="multilevel"/>
    <w:tmpl w:val="5588C41C"/>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2EEA123D"/>
    <w:multiLevelType w:val="multilevel"/>
    <w:tmpl w:val="ADBE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0C13D0"/>
    <w:multiLevelType w:val="multilevel"/>
    <w:tmpl w:val="03F0627C"/>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31944002"/>
    <w:multiLevelType w:val="multilevel"/>
    <w:tmpl w:val="B068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DC061A"/>
    <w:multiLevelType w:val="multilevel"/>
    <w:tmpl w:val="8D5E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603C9C"/>
    <w:multiLevelType w:val="multilevel"/>
    <w:tmpl w:val="9D6825C8"/>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376F5EB5"/>
    <w:multiLevelType w:val="multilevel"/>
    <w:tmpl w:val="04C8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3A01BC"/>
    <w:multiLevelType w:val="multilevel"/>
    <w:tmpl w:val="5722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6652E1"/>
    <w:multiLevelType w:val="multilevel"/>
    <w:tmpl w:val="6E2AE0CE"/>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410928FA"/>
    <w:multiLevelType w:val="multilevel"/>
    <w:tmpl w:val="954A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2D64F2"/>
    <w:multiLevelType w:val="multilevel"/>
    <w:tmpl w:val="B67E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C614C7"/>
    <w:multiLevelType w:val="multilevel"/>
    <w:tmpl w:val="AE56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C36F3A"/>
    <w:multiLevelType w:val="multilevel"/>
    <w:tmpl w:val="9D00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043821"/>
    <w:multiLevelType w:val="multilevel"/>
    <w:tmpl w:val="21E0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422578"/>
    <w:multiLevelType w:val="multilevel"/>
    <w:tmpl w:val="3C0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565A88"/>
    <w:multiLevelType w:val="multilevel"/>
    <w:tmpl w:val="958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B85DAA"/>
    <w:multiLevelType w:val="multilevel"/>
    <w:tmpl w:val="3154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BC7EB8"/>
    <w:multiLevelType w:val="hybridMultilevel"/>
    <w:tmpl w:val="79206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516EA9"/>
    <w:multiLevelType w:val="multilevel"/>
    <w:tmpl w:val="1B34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8517D6"/>
    <w:multiLevelType w:val="multilevel"/>
    <w:tmpl w:val="4856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400FE1"/>
    <w:multiLevelType w:val="multilevel"/>
    <w:tmpl w:val="98AA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CD6F64"/>
    <w:multiLevelType w:val="multilevel"/>
    <w:tmpl w:val="46EE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5058C6"/>
    <w:multiLevelType w:val="multilevel"/>
    <w:tmpl w:val="EB04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705323"/>
    <w:multiLevelType w:val="multilevel"/>
    <w:tmpl w:val="7D3A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850C37"/>
    <w:multiLevelType w:val="multilevel"/>
    <w:tmpl w:val="9A58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0F2472"/>
    <w:multiLevelType w:val="multilevel"/>
    <w:tmpl w:val="DB02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F52FDB"/>
    <w:multiLevelType w:val="multilevel"/>
    <w:tmpl w:val="3C0A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A75D71"/>
    <w:multiLevelType w:val="multilevel"/>
    <w:tmpl w:val="E9CA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DD76EC"/>
    <w:multiLevelType w:val="multilevel"/>
    <w:tmpl w:val="FB58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CA0366"/>
    <w:multiLevelType w:val="multilevel"/>
    <w:tmpl w:val="3190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820255"/>
    <w:multiLevelType w:val="multilevel"/>
    <w:tmpl w:val="38AC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114380">
    <w:abstractNumId w:val="0"/>
  </w:num>
  <w:num w:numId="2" w16cid:durableId="1089235211">
    <w:abstractNumId w:val="5"/>
  </w:num>
  <w:num w:numId="3" w16cid:durableId="1220021790">
    <w:abstractNumId w:val="32"/>
  </w:num>
  <w:num w:numId="4" w16cid:durableId="1237934074">
    <w:abstractNumId w:val="28"/>
  </w:num>
  <w:num w:numId="5" w16cid:durableId="1289703199">
    <w:abstractNumId w:val="10"/>
  </w:num>
  <w:num w:numId="6" w16cid:durableId="1317302260">
    <w:abstractNumId w:val="23"/>
  </w:num>
  <w:num w:numId="7" w16cid:durableId="1375155509">
    <w:abstractNumId w:val="21"/>
  </w:num>
  <w:num w:numId="8" w16cid:durableId="1382484036">
    <w:abstractNumId w:val="29"/>
  </w:num>
  <w:num w:numId="9" w16cid:durableId="138965168">
    <w:abstractNumId w:val="11"/>
  </w:num>
  <w:num w:numId="10" w16cid:durableId="140275499">
    <w:abstractNumId w:val="3"/>
  </w:num>
  <w:num w:numId="11" w16cid:durableId="1425302785">
    <w:abstractNumId w:val="9"/>
  </w:num>
  <w:num w:numId="12" w16cid:durableId="1524202386">
    <w:abstractNumId w:val="30"/>
  </w:num>
  <w:num w:numId="13" w16cid:durableId="1541477318">
    <w:abstractNumId w:val="20"/>
  </w:num>
  <w:num w:numId="14" w16cid:durableId="1598758051">
    <w:abstractNumId w:val="40"/>
  </w:num>
  <w:num w:numId="15" w16cid:durableId="1602762630">
    <w:abstractNumId w:val="22"/>
  </w:num>
  <w:num w:numId="16" w16cid:durableId="1690136353">
    <w:abstractNumId w:val="31"/>
  </w:num>
  <w:num w:numId="17" w16cid:durableId="1700622437">
    <w:abstractNumId w:val="12"/>
  </w:num>
  <w:num w:numId="18" w16cid:durableId="1787507139">
    <w:abstractNumId w:val="38"/>
  </w:num>
  <w:num w:numId="19" w16cid:durableId="1906531151">
    <w:abstractNumId w:val="45"/>
  </w:num>
  <w:num w:numId="20" w16cid:durableId="1929462121">
    <w:abstractNumId w:val="39"/>
  </w:num>
  <w:num w:numId="21" w16cid:durableId="1942376810">
    <w:abstractNumId w:val="25"/>
  </w:num>
  <w:num w:numId="22" w16cid:durableId="2017345881">
    <w:abstractNumId w:val="2"/>
  </w:num>
  <w:num w:numId="23" w16cid:durableId="2037004668">
    <w:abstractNumId w:val="27"/>
  </w:num>
  <w:num w:numId="24" w16cid:durableId="2054772757">
    <w:abstractNumId w:val="35"/>
  </w:num>
  <w:num w:numId="25" w16cid:durableId="2126388750">
    <w:abstractNumId w:val="13"/>
  </w:num>
  <w:num w:numId="26" w16cid:durableId="2128306641">
    <w:abstractNumId w:val="18"/>
  </w:num>
  <w:num w:numId="27" w16cid:durableId="227960472">
    <w:abstractNumId w:val="14"/>
  </w:num>
  <w:num w:numId="28" w16cid:durableId="257057702">
    <w:abstractNumId w:val="41"/>
  </w:num>
  <w:num w:numId="29" w16cid:durableId="266617654">
    <w:abstractNumId w:val="1"/>
  </w:num>
  <w:num w:numId="30" w16cid:durableId="26686958">
    <w:abstractNumId w:val="43"/>
  </w:num>
  <w:num w:numId="31" w16cid:durableId="267002995">
    <w:abstractNumId w:val="4"/>
  </w:num>
  <w:num w:numId="32" w16cid:durableId="323052964">
    <w:abstractNumId w:val="36"/>
  </w:num>
  <w:num w:numId="33" w16cid:durableId="34736487">
    <w:abstractNumId w:val="42"/>
  </w:num>
  <w:num w:numId="34" w16cid:durableId="650671292">
    <w:abstractNumId w:val="24"/>
  </w:num>
  <w:num w:numId="35" w16cid:durableId="689837092">
    <w:abstractNumId w:val="7"/>
  </w:num>
  <w:num w:numId="36" w16cid:durableId="695931786">
    <w:abstractNumId w:val="19"/>
  </w:num>
  <w:num w:numId="37" w16cid:durableId="720909943">
    <w:abstractNumId w:val="33"/>
  </w:num>
  <w:num w:numId="38" w16cid:durableId="740910204">
    <w:abstractNumId w:val="6"/>
  </w:num>
  <w:num w:numId="39" w16cid:durableId="834224022">
    <w:abstractNumId w:val="16"/>
  </w:num>
  <w:num w:numId="40" w16cid:durableId="844394465">
    <w:abstractNumId w:val="8"/>
  </w:num>
  <w:num w:numId="41" w16cid:durableId="88627639">
    <w:abstractNumId w:val="44"/>
  </w:num>
  <w:num w:numId="42" w16cid:durableId="959341088">
    <w:abstractNumId w:val="15"/>
  </w:num>
  <w:num w:numId="43" w16cid:durableId="959919874">
    <w:abstractNumId w:val="17"/>
  </w:num>
  <w:num w:numId="44" w16cid:durableId="734858069">
    <w:abstractNumId w:val="37"/>
  </w:num>
  <w:num w:numId="45" w16cid:durableId="1768424560">
    <w:abstractNumId w:val="34"/>
  </w:num>
  <w:num w:numId="46" w16cid:durableId="154212777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E38"/>
    <w:rsid w:val="00002326"/>
    <w:rsid w:val="00043EFF"/>
    <w:rsid w:val="000B316B"/>
    <w:rsid w:val="000C579D"/>
    <w:rsid w:val="000E1E43"/>
    <w:rsid w:val="000E295B"/>
    <w:rsid w:val="001152D9"/>
    <w:rsid w:val="00117113"/>
    <w:rsid w:val="00190DCF"/>
    <w:rsid w:val="001B5140"/>
    <w:rsid w:val="002262E2"/>
    <w:rsid w:val="002C6916"/>
    <w:rsid w:val="00336F53"/>
    <w:rsid w:val="00376226"/>
    <w:rsid w:val="003A01A7"/>
    <w:rsid w:val="003A491B"/>
    <w:rsid w:val="003B6F65"/>
    <w:rsid w:val="003C7565"/>
    <w:rsid w:val="003D7CDA"/>
    <w:rsid w:val="00401AE6"/>
    <w:rsid w:val="004B024E"/>
    <w:rsid w:val="004D3E76"/>
    <w:rsid w:val="004E1B14"/>
    <w:rsid w:val="004F1E38"/>
    <w:rsid w:val="004F385E"/>
    <w:rsid w:val="004F5359"/>
    <w:rsid w:val="00501B14"/>
    <w:rsid w:val="00542EC2"/>
    <w:rsid w:val="006051A7"/>
    <w:rsid w:val="00652953"/>
    <w:rsid w:val="00657977"/>
    <w:rsid w:val="00690B63"/>
    <w:rsid w:val="006A718D"/>
    <w:rsid w:val="006D2733"/>
    <w:rsid w:val="006D29E9"/>
    <w:rsid w:val="00772D50"/>
    <w:rsid w:val="00772DAF"/>
    <w:rsid w:val="007A26E7"/>
    <w:rsid w:val="007E7B07"/>
    <w:rsid w:val="00863709"/>
    <w:rsid w:val="008A2E47"/>
    <w:rsid w:val="009A0268"/>
    <w:rsid w:val="00AE6FFE"/>
    <w:rsid w:val="00B26FB2"/>
    <w:rsid w:val="00BB4629"/>
    <w:rsid w:val="00BC1194"/>
    <w:rsid w:val="00BE6691"/>
    <w:rsid w:val="00C27A00"/>
    <w:rsid w:val="00CC4A43"/>
    <w:rsid w:val="00D46890"/>
    <w:rsid w:val="00D916A6"/>
    <w:rsid w:val="00DA0017"/>
    <w:rsid w:val="00DC7C1C"/>
    <w:rsid w:val="00DE1C75"/>
    <w:rsid w:val="00DE73E3"/>
    <w:rsid w:val="00E4541F"/>
    <w:rsid w:val="00E60B5D"/>
    <w:rsid w:val="00E85C4E"/>
    <w:rsid w:val="00E94CEC"/>
    <w:rsid w:val="00F363D3"/>
    <w:rsid w:val="00F73EA3"/>
    <w:rsid w:val="00F77494"/>
    <w:rsid w:val="00FB00F1"/>
    <w:rsid w:val="00FF1C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78D9"/>
  <w15:chartTrackingRefBased/>
  <w15:docId w15:val="{33ED8987-E7F8-4CA7-9572-F907F9B4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E38"/>
    <w:rPr>
      <w:rFonts w:eastAsiaTheme="majorEastAsia" w:cstheme="majorBidi"/>
      <w:color w:val="272727" w:themeColor="text1" w:themeTint="D8"/>
    </w:rPr>
  </w:style>
  <w:style w:type="paragraph" w:styleId="Title">
    <w:name w:val="Title"/>
    <w:basedOn w:val="Normal"/>
    <w:next w:val="Normal"/>
    <w:link w:val="TitleChar"/>
    <w:uiPriority w:val="10"/>
    <w:qFormat/>
    <w:rsid w:val="004F1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E38"/>
    <w:pPr>
      <w:spacing w:before="160"/>
      <w:jc w:val="center"/>
    </w:pPr>
    <w:rPr>
      <w:i/>
      <w:iCs/>
      <w:color w:val="404040" w:themeColor="text1" w:themeTint="BF"/>
    </w:rPr>
  </w:style>
  <w:style w:type="character" w:customStyle="1" w:styleId="QuoteChar">
    <w:name w:val="Quote Char"/>
    <w:basedOn w:val="DefaultParagraphFont"/>
    <w:link w:val="Quote"/>
    <w:uiPriority w:val="29"/>
    <w:rsid w:val="004F1E38"/>
    <w:rPr>
      <w:i/>
      <w:iCs/>
      <w:color w:val="404040" w:themeColor="text1" w:themeTint="BF"/>
    </w:rPr>
  </w:style>
  <w:style w:type="paragraph" w:styleId="ListParagraph">
    <w:name w:val="List Paragraph"/>
    <w:basedOn w:val="Normal"/>
    <w:uiPriority w:val="34"/>
    <w:qFormat/>
    <w:rsid w:val="004F1E38"/>
    <w:pPr>
      <w:ind w:left="720"/>
      <w:contextualSpacing/>
    </w:pPr>
  </w:style>
  <w:style w:type="character" w:styleId="IntenseEmphasis">
    <w:name w:val="Intense Emphasis"/>
    <w:basedOn w:val="DefaultParagraphFont"/>
    <w:uiPriority w:val="21"/>
    <w:qFormat/>
    <w:rsid w:val="004F1E38"/>
    <w:rPr>
      <w:i/>
      <w:iCs/>
      <w:color w:val="0F4761" w:themeColor="accent1" w:themeShade="BF"/>
    </w:rPr>
  </w:style>
  <w:style w:type="paragraph" w:styleId="IntenseQuote">
    <w:name w:val="Intense Quote"/>
    <w:basedOn w:val="Normal"/>
    <w:next w:val="Normal"/>
    <w:link w:val="IntenseQuoteChar"/>
    <w:uiPriority w:val="30"/>
    <w:qFormat/>
    <w:rsid w:val="004F1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E38"/>
    <w:rPr>
      <w:i/>
      <w:iCs/>
      <w:color w:val="0F4761" w:themeColor="accent1" w:themeShade="BF"/>
    </w:rPr>
  </w:style>
  <w:style w:type="character" w:styleId="IntenseReference">
    <w:name w:val="Intense Reference"/>
    <w:basedOn w:val="DefaultParagraphFont"/>
    <w:uiPriority w:val="32"/>
    <w:qFormat/>
    <w:rsid w:val="004F1E38"/>
    <w:rPr>
      <w:b/>
      <w:bCs/>
      <w:smallCaps/>
      <w:color w:val="0F4761" w:themeColor="accent1" w:themeShade="BF"/>
      <w:spacing w:val="5"/>
    </w:rPr>
  </w:style>
  <w:style w:type="table" w:styleId="GridTable4-Accent2">
    <w:name w:val="Grid Table 4 Accent 2"/>
    <w:basedOn w:val="TableNormal"/>
    <w:uiPriority w:val="49"/>
    <w:rsid w:val="004F1E3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331</Words>
  <Characters>2511</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PwC</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Karri Prasad (IN)</dc:creator>
  <cp:keywords/>
  <dc:description/>
  <cp:lastModifiedBy>Ashish Koul (IN)</cp:lastModifiedBy>
  <cp:revision>34</cp:revision>
  <dcterms:created xsi:type="dcterms:W3CDTF">2026-09-09T06:16:00Z</dcterms:created>
  <dcterms:modified xsi:type="dcterms:W3CDTF">2026-09-24T10:36:00Z</dcterms:modified>
</cp:coreProperties>
</file>